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GoBack"/>
    <w:bookmarkEnd w:id="0"/>
    <w:p w14:paraId="56DA180B" w14:textId="77777777" w:rsidR="00261D18" w:rsidRDefault="00261D18" w:rsidP="00261D18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"https://home.treasury.gov/policy-issues/coronavirus/assistance-for-state-local-and-tribal-governments/state-and-local-fiscal-recovery-funds" </w:instrText>
      </w:r>
      <w:r>
        <w:rPr>
          <w:rFonts w:eastAsia="Times New Roman"/>
        </w:rPr>
        <w:fldChar w:fldCharType="separate"/>
      </w:r>
      <w:r>
        <w:rPr>
          <w:rStyle w:val="Hyperlink"/>
          <w:rFonts w:eastAsia="Times New Roman"/>
        </w:rPr>
        <w:t>US Treasury State and Local Fiscal Relief Fund</w:t>
      </w:r>
      <w:r>
        <w:rPr>
          <w:rFonts w:eastAsia="Times New Roman"/>
        </w:rPr>
        <w:fldChar w:fldCharType="end"/>
      </w:r>
    </w:p>
    <w:p w14:paraId="07D93E82" w14:textId="77777777" w:rsidR="00261D18" w:rsidRDefault="00261D18" w:rsidP="00261D18">
      <w:pPr>
        <w:numPr>
          <w:ilvl w:val="0"/>
          <w:numId w:val="2"/>
        </w:numPr>
        <w:rPr>
          <w:rFonts w:eastAsia="Times New Roman"/>
        </w:rPr>
      </w:pPr>
      <w:hyperlink r:id="rId8" w:history="1">
        <w:r>
          <w:rPr>
            <w:rStyle w:val="Hyperlink"/>
            <w:rFonts w:eastAsia="Times New Roman"/>
          </w:rPr>
          <w:t>The Interim Final Rule (IFR)</w:t>
        </w:r>
      </w:hyperlink>
    </w:p>
    <w:p w14:paraId="343FB2E8" w14:textId="77777777" w:rsidR="00261D18" w:rsidRDefault="00261D18" w:rsidP="00261D18">
      <w:pPr>
        <w:numPr>
          <w:ilvl w:val="0"/>
          <w:numId w:val="2"/>
        </w:numPr>
        <w:rPr>
          <w:rFonts w:eastAsia="Times New Roman"/>
        </w:rPr>
      </w:pPr>
      <w:hyperlink r:id="rId9" w:history="1">
        <w:r>
          <w:rPr>
            <w:rStyle w:val="Hyperlink"/>
            <w:rFonts w:eastAsia="Times New Roman"/>
          </w:rPr>
          <w:t>FAQs</w:t>
        </w:r>
      </w:hyperlink>
    </w:p>
    <w:p w14:paraId="0ABF322B" w14:textId="77777777" w:rsidR="00261D18" w:rsidRDefault="00261D18" w:rsidP="00261D18">
      <w:pPr>
        <w:numPr>
          <w:ilvl w:val="0"/>
          <w:numId w:val="2"/>
        </w:numPr>
        <w:rPr>
          <w:rFonts w:eastAsia="Times New Roman"/>
        </w:rPr>
      </w:pPr>
      <w:hyperlink r:id="rId10" w:history="1">
        <w:r>
          <w:rPr>
            <w:rStyle w:val="Hyperlink"/>
            <w:rFonts w:eastAsia="Times New Roman"/>
          </w:rPr>
          <w:t>Fact Sheet</w:t>
        </w:r>
      </w:hyperlink>
    </w:p>
    <w:p w14:paraId="63F464D3" w14:textId="77777777" w:rsidR="00261D18" w:rsidRDefault="00261D18" w:rsidP="00261D18">
      <w:pPr>
        <w:numPr>
          <w:ilvl w:val="0"/>
          <w:numId w:val="2"/>
        </w:numPr>
        <w:rPr>
          <w:rFonts w:eastAsia="Times New Roman"/>
        </w:rPr>
      </w:pPr>
      <w:hyperlink r:id="rId11" w:history="1">
        <w:r>
          <w:rPr>
            <w:rStyle w:val="Hyperlink"/>
            <w:rFonts w:eastAsia="Times New Roman"/>
          </w:rPr>
          <w:t>GFOA Guiding Principles</w:t>
        </w:r>
      </w:hyperlink>
    </w:p>
    <w:p w14:paraId="31CCDE40" w14:textId="77777777" w:rsidR="00261D18" w:rsidRDefault="00261D18" w:rsidP="00261D18">
      <w:pPr>
        <w:numPr>
          <w:ilvl w:val="0"/>
          <w:numId w:val="2"/>
        </w:numPr>
        <w:rPr>
          <w:rFonts w:eastAsia="Times New Roman"/>
        </w:rPr>
      </w:pPr>
      <w:hyperlink r:id="rId12" w:history="1">
        <w:proofErr w:type="gramStart"/>
        <w:r>
          <w:rPr>
            <w:rStyle w:val="Hyperlink"/>
            <w:rFonts w:eastAsia="Times New Roman"/>
          </w:rPr>
          <w:t>GFOA  Analysis</w:t>
        </w:r>
        <w:proofErr w:type="gramEnd"/>
        <w:r>
          <w:rPr>
            <w:rStyle w:val="Hyperlink"/>
            <w:rFonts w:eastAsia="Times New Roman"/>
          </w:rPr>
          <w:t xml:space="preserve"> of Guidance</w:t>
        </w:r>
      </w:hyperlink>
    </w:p>
    <w:p w14:paraId="1B7710CC" w14:textId="77777777" w:rsidR="00261D18" w:rsidRDefault="00261D18" w:rsidP="00261D18">
      <w:pPr>
        <w:numPr>
          <w:ilvl w:val="0"/>
          <w:numId w:val="2"/>
        </w:numPr>
        <w:rPr>
          <w:rFonts w:eastAsia="Times New Roman"/>
        </w:rPr>
      </w:pPr>
      <w:hyperlink r:id="rId13" w:history="1">
        <w:r>
          <w:rPr>
            <w:rStyle w:val="Hyperlink"/>
            <w:rFonts w:eastAsia="Times New Roman"/>
          </w:rPr>
          <w:t xml:space="preserve">GFOA American Rescue Plan Analysis </w:t>
        </w:r>
      </w:hyperlink>
    </w:p>
    <w:p w14:paraId="6625E620" w14:textId="77777777" w:rsidR="00EF2C4F" w:rsidRPr="00DC6E1F" w:rsidRDefault="00EF2C4F" w:rsidP="00DC6E1F"/>
    <w:sectPr w:rsidR="00EF2C4F" w:rsidRPr="00DC6E1F" w:rsidSect="00C44FEC">
      <w:headerReference w:type="default" r:id="rId14"/>
      <w:pgSz w:w="12240" w:h="15840"/>
      <w:pgMar w:top="178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CCC22" w14:textId="77777777" w:rsidR="00261D18" w:rsidRDefault="00261D18" w:rsidP="00C44FEC">
      <w:r>
        <w:separator/>
      </w:r>
    </w:p>
  </w:endnote>
  <w:endnote w:type="continuationSeparator" w:id="0">
    <w:p w14:paraId="06F08B2C" w14:textId="77777777" w:rsidR="00261D18" w:rsidRDefault="00261D18" w:rsidP="00C4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Microsoft JhengHei Light"/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A587A" w14:textId="77777777" w:rsidR="00261D18" w:rsidRDefault="00261D18" w:rsidP="00C44FEC">
      <w:r>
        <w:separator/>
      </w:r>
    </w:p>
  </w:footnote>
  <w:footnote w:type="continuationSeparator" w:id="0">
    <w:p w14:paraId="5CEF264B" w14:textId="77777777" w:rsidR="00261D18" w:rsidRDefault="00261D18" w:rsidP="00C44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3FA65" w14:textId="77777777" w:rsidR="00C44FEC" w:rsidRDefault="00C44FEC" w:rsidP="00C44FE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4547B"/>
    <w:multiLevelType w:val="hybridMultilevel"/>
    <w:tmpl w:val="566CD902"/>
    <w:lvl w:ilvl="0" w:tplc="BB2656B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2D0A46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DBA8E6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E4F4128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AC4C5D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9AAEAF6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E816332E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B3BCB3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2724DCC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1" w15:restartNumberingAfterBreak="0">
    <w:nsid w:val="600B5200"/>
    <w:multiLevelType w:val="hybridMultilevel"/>
    <w:tmpl w:val="3FD8CAA8"/>
    <w:lvl w:ilvl="0" w:tplc="323CA3D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18"/>
    <w:rsid w:val="00261D18"/>
    <w:rsid w:val="002B416A"/>
    <w:rsid w:val="00300ADF"/>
    <w:rsid w:val="004E1563"/>
    <w:rsid w:val="005D4D5C"/>
    <w:rsid w:val="007128A2"/>
    <w:rsid w:val="00754EDB"/>
    <w:rsid w:val="00924716"/>
    <w:rsid w:val="00C44FEC"/>
    <w:rsid w:val="00D4173D"/>
    <w:rsid w:val="00DC6E1F"/>
    <w:rsid w:val="00EC1225"/>
    <w:rsid w:val="00E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F835B"/>
  <w15:chartTrackingRefBased/>
  <w15:docId w15:val="{884C2345-652C-476E-BF3B-7AC7542F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D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0ADF"/>
    <w:pPr>
      <w:spacing w:before="200"/>
      <w:outlineLvl w:val="0"/>
    </w:pPr>
    <w:rPr>
      <w:color w:val="055496"/>
      <w:spacing w:val="-20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0ADF"/>
    <w:pPr>
      <w:spacing w:before="200"/>
      <w:outlineLvl w:val="1"/>
    </w:pPr>
    <w:rPr>
      <w:rFonts w:ascii="Open Sans Semibold" w:hAnsi="Open Sans Semibold"/>
      <w:color w:val="055496"/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0ADF"/>
    <w:pPr>
      <w:keepNext/>
      <w:keepLines/>
      <w:spacing w:before="200"/>
      <w:outlineLvl w:val="2"/>
    </w:pPr>
    <w:rPr>
      <w:rFonts w:eastAsiaTheme="majorEastAsia" w:cstheme="majorBidi"/>
      <w:bCs/>
      <w:color w:val="156FB3" w:themeColor="accent3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0ADF"/>
    <w:pPr>
      <w:keepNext/>
      <w:keepLines/>
      <w:spacing w:before="200"/>
      <w:outlineLvl w:val="3"/>
    </w:pPr>
    <w:rPr>
      <w:rFonts w:ascii="Open Sans Semibold" w:eastAsiaTheme="majorEastAsia" w:hAnsi="Open Sans Semibold" w:cs="Open Sans Semibold"/>
      <w:bCs/>
      <w:iCs/>
      <w:color w:val="05549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0ADF"/>
    <w:pPr>
      <w:keepNext/>
      <w:keepLines/>
      <w:spacing w:before="200"/>
      <w:outlineLvl w:val="4"/>
    </w:pPr>
    <w:rPr>
      <w:rFonts w:eastAsiaTheme="majorEastAsia" w:cs="Open Sans"/>
      <w:color w:val="4F81BD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300ADF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AD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0ADF"/>
    <w:rPr>
      <w:rFonts w:ascii="Open Sans" w:hAnsi="Open Sans" w:cs="Open Sans Light"/>
      <w:color w:val="055496"/>
      <w:spacing w:val="-20"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00ADF"/>
    <w:rPr>
      <w:rFonts w:ascii="Open Sans Semibold" w:hAnsi="Open Sans Semibold" w:cs="Open Sans Light"/>
      <w:color w:val="055496"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00ADF"/>
    <w:rPr>
      <w:rFonts w:ascii="Open Sans" w:eastAsiaTheme="majorEastAsia" w:hAnsi="Open Sans" w:cstheme="majorBidi"/>
      <w:bCs/>
      <w:color w:val="156FB3" w:themeColor="accent3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00ADF"/>
    <w:rPr>
      <w:rFonts w:ascii="Open Sans Semibold" w:eastAsiaTheme="majorEastAsia" w:hAnsi="Open Sans Semibold" w:cs="Open Sans Semibold"/>
      <w:bCs/>
      <w:iCs/>
      <w:color w:val="055496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00ADF"/>
    <w:rPr>
      <w:rFonts w:ascii="Open Sans" w:eastAsiaTheme="majorEastAsia" w:hAnsi="Open Sans" w:cs="Open Sans"/>
      <w:color w:val="4F81BD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00ADF"/>
    <w:pPr>
      <w:jc w:val="center"/>
    </w:pPr>
    <w:rPr>
      <w:bCs/>
      <w:color w:val="929292" w:themeColor="text1" w:themeTint="8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00A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ADF"/>
    <w:rPr>
      <w:rFonts w:ascii="Open Sans" w:hAnsi="Open Sans" w:cs="Open Sans Light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0A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ADF"/>
    <w:rPr>
      <w:rFonts w:ascii="Open Sans" w:hAnsi="Open Sans" w:cs="Open Sans Light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300ADF"/>
    <w:rPr>
      <w:rFonts w:ascii="Open Sans" w:eastAsiaTheme="majorEastAsia" w:hAnsi="Open Sans" w:cs="Open Sans"/>
      <w:color w:val="4F81BD"/>
      <w:szCs w:val="20"/>
    </w:rPr>
  </w:style>
  <w:style w:type="table" w:styleId="LightList">
    <w:name w:val="Light List"/>
    <w:basedOn w:val="TableNormal"/>
    <w:uiPriority w:val="61"/>
    <w:rsid w:val="00300ADF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text1"/>
        <w:left w:val="single" w:sz="8" w:space="0" w:color="262626" w:themeColor="text1"/>
        <w:bottom w:val="single" w:sz="8" w:space="0" w:color="262626" w:themeColor="text1"/>
        <w:right w:val="single" w:sz="8" w:space="0" w:color="262626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</w:tcBorders>
      </w:tcPr>
    </w:tblStylePr>
    <w:tblStylePr w:type="band1Horz"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00ADF"/>
    <w:pPr>
      <w:spacing w:after="0" w:line="240" w:lineRule="auto"/>
    </w:pPr>
    <w:tblPr>
      <w:tblStyleRowBandSize w:val="1"/>
      <w:tblStyleColBandSize w:val="1"/>
      <w:tblBorders>
        <w:top w:val="single" w:sz="8" w:space="0" w:color="105489" w:themeColor="accent1"/>
        <w:left w:val="single" w:sz="8" w:space="0" w:color="105489" w:themeColor="accent1"/>
        <w:bottom w:val="single" w:sz="8" w:space="0" w:color="105489" w:themeColor="accent1"/>
        <w:right w:val="single" w:sz="8" w:space="0" w:color="1054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5489" w:themeColor="accent1"/>
          <w:left w:val="single" w:sz="8" w:space="0" w:color="105489" w:themeColor="accent1"/>
          <w:bottom w:val="single" w:sz="8" w:space="0" w:color="105489" w:themeColor="accent1"/>
          <w:right w:val="single" w:sz="8" w:space="0" w:color="10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5489" w:themeColor="accent1"/>
          <w:left w:val="single" w:sz="8" w:space="0" w:color="105489" w:themeColor="accent1"/>
          <w:bottom w:val="single" w:sz="8" w:space="0" w:color="105489" w:themeColor="accent1"/>
          <w:right w:val="single" w:sz="8" w:space="0" w:color="105489" w:themeColor="accent1"/>
        </w:tcBorders>
      </w:tcPr>
    </w:tblStylePr>
    <w:tblStylePr w:type="band1Horz">
      <w:tblPr/>
      <w:tcPr>
        <w:tcBorders>
          <w:top w:val="single" w:sz="8" w:space="0" w:color="105489" w:themeColor="accent1"/>
          <w:left w:val="single" w:sz="8" w:space="0" w:color="105489" w:themeColor="accent1"/>
          <w:bottom w:val="single" w:sz="8" w:space="0" w:color="105489" w:themeColor="accent1"/>
          <w:right w:val="single" w:sz="8" w:space="0" w:color="10548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00ADF"/>
    <w:pPr>
      <w:spacing w:after="0" w:line="240" w:lineRule="auto"/>
    </w:pPr>
    <w:tblPr>
      <w:tblStyleRowBandSize w:val="1"/>
      <w:tblStyleColBandSize w:val="1"/>
      <w:tblBorders>
        <w:top w:val="single" w:sz="8" w:space="0" w:color="AB4D33" w:themeColor="accent2"/>
        <w:left w:val="single" w:sz="8" w:space="0" w:color="AB4D33" w:themeColor="accent2"/>
        <w:bottom w:val="single" w:sz="8" w:space="0" w:color="AB4D33" w:themeColor="accent2"/>
        <w:right w:val="single" w:sz="8" w:space="0" w:color="AB4D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4D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4D33" w:themeColor="accent2"/>
          <w:left w:val="single" w:sz="8" w:space="0" w:color="AB4D33" w:themeColor="accent2"/>
          <w:bottom w:val="single" w:sz="8" w:space="0" w:color="AB4D33" w:themeColor="accent2"/>
          <w:right w:val="single" w:sz="8" w:space="0" w:color="AB4D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4D33" w:themeColor="accent2"/>
          <w:left w:val="single" w:sz="8" w:space="0" w:color="AB4D33" w:themeColor="accent2"/>
          <w:bottom w:val="single" w:sz="8" w:space="0" w:color="AB4D33" w:themeColor="accent2"/>
          <w:right w:val="single" w:sz="8" w:space="0" w:color="AB4D33" w:themeColor="accent2"/>
        </w:tcBorders>
      </w:tcPr>
    </w:tblStylePr>
    <w:tblStylePr w:type="band1Horz">
      <w:tblPr/>
      <w:tcPr>
        <w:tcBorders>
          <w:top w:val="single" w:sz="8" w:space="0" w:color="AB4D33" w:themeColor="accent2"/>
          <w:left w:val="single" w:sz="8" w:space="0" w:color="AB4D33" w:themeColor="accent2"/>
          <w:bottom w:val="single" w:sz="8" w:space="0" w:color="AB4D33" w:themeColor="accent2"/>
          <w:right w:val="single" w:sz="8" w:space="0" w:color="AB4D33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300AD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00AD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2">
    <w:name w:val="Light Shading Accent 2"/>
    <w:basedOn w:val="TableNormal"/>
    <w:uiPriority w:val="60"/>
    <w:rsid w:val="00300ADF"/>
    <w:pPr>
      <w:spacing w:after="0" w:line="240" w:lineRule="auto"/>
    </w:pPr>
    <w:rPr>
      <w:color w:val="7F3926" w:themeColor="accent2" w:themeShade="BF"/>
    </w:rPr>
    <w:tblPr>
      <w:tblStyleRowBandSize w:val="1"/>
      <w:tblStyleColBandSize w:val="1"/>
      <w:tblBorders>
        <w:top w:val="single" w:sz="8" w:space="0" w:color="AB4D33" w:themeColor="accent2"/>
        <w:bottom w:val="single" w:sz="8" w:space="0" w:color="AB4D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4D33" w:themeColor="accent2"/>
          <w:left w:val="nil"/>
          <w:bottom w:val="single" w:sz="8" w:space="0" w:color="AB4D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4D33" w:themeColor="accent2"/>
          <w:left w:val="nil"/>
          <w:bottom w:val="single" w:sz="8" w:space="0" w:color="AB4D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0C8" w:themeFill="accent2" w:themeFillTint="3F"/>
      </w:tcPr>
    </w:tblStylePr>
  </w:style>
  <w:style w:type="paragraph" w:styleId="ListParagraph">
    <w:name w:val="List Paragraph"/>
    <w:basedOn w:val="Normal"/>
    <w:uiPriority w:val="34"/>
    <w:rsid w:val="00300ADF"/>
    <w:pPr>
      <w:ind w:left="720"/>
      <w:contextualSpacing/>
    </w:pPr>
  </w:style>
  <w:style w:type="table" w:styleId="TableGrid">
    <w:name w:val="Table Grid"/>
    <w:basedOn w:val="TableNormal"/>
    <w:uiPriority w:val="59"/>
    <w:rsid w:val="00300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2B416A"/>
    <w:pPr>
      <w:outlineLvl w:val="0"/>
    </w:pPr>
    <w:rPr>
      <w:rFonts w:ascii="Open Sans Light" w:hAnsi="Open Sans Light"/>
      <w:color w:val="105489" w:themeColor="text2"/>
      <w:spacing w:val="-20"/>
      <w:kern w:val="32"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2B416A"/>
    <w:rPr>
      <w:rFonts w:ascii="Open Sans Light" w:hAnsi="Open Sans Light" w:cs="Open Sans Light"/>
      <w:color w:val="105489" w:themeColor="text2"/>
      <w:spacing w:val="-20"/>
      <w:kern w:val="32"/>
      <w:sz w:val="56"/>
      <w:szCs w:val="72"/>
    </w:rPr>
  </w:style>
  <w:style w:type="table" w:customStyle="1" w:styleId="VIKTOR-Horizontal">
    <w:name w:val="VIKTOR - Horizontal"/>
    <w:basedOn w:val="TableNormal"/>
    <w:uiPriority w:val="99"/>
    <w:rsid w:val="00300ADF"/>
    <w:pPr>
      <w:spacing w:after="0" w:line="240" w:lineRule="auto"/>
    </w:pPr>
    <w:rPr>
      <w:rFonts w:ascii="Open Sans Light" w:hAnsi="Open Sans Light"/>
      <w:sz w:val="26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tcMar>
        <w:top w:w="72" w:type="dxa"/>
        <w:left w:w="144" w:type="dxa"/>
        <w:bottom w:w="72" w:type="dxa"/>
        <w:right w:w="144" w:type="dxa"/>
      </w:tcMar>
    </w:tcPr>
    <w:tblStylePr w:type="firstRow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261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9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-inspection.federalregister.gov/2021-10283.pdf" TargetMode="External"/><Relationship Id="rId13" Type="http://schemas.openxmlformats.org/officeDocument/2006/relationships/hyperlink" Target="https://www.gfoa.org/flc-analysis-of-current-proposed-covid-19-relief-measur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foa.org/cslfrf-guidance-fa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foa.org/american-rescue-plan-spending-guiding-principl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ome.treasury.gov/system/files/136/SLFRP-Fact-Sheet-FINAL1-508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me.treasury.gov/system/files/136/SLFRPFAQ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VIKTOR">
  <a:themeElements>
    <a:clrScheme name="VIKTOR">
      <a:dk1>
        <a:srgbClr val="262626"/>
      </a:dk1>
      <a:lt1>
        <a:sysClr val="window" lastClr="FFFFFF"/>
      </a:lt1>
      <a:dk2>
        <a:srgbClr val="105489"/>
      </a:dk2>
      <a:lt2>
        <a:srgbClr val="EEECE1"/>
      </a:lt2>
      <a:accent1>
        <a:srgbClr val="105489"/>
      </a:accent1>
      <a:accent2>
        <a:srgbClr val="AB4D33"/>
      </a:accent2>
      <a:accent3>
        <a:srgbClr val="156FB3"/>
      </a:accent3>
      <a:accent4>
        <a:srgbClr val="8064A2"/>
      </a:accent4>
      <a:accent5>
        <a:srgbClr val="4BACC6"/>
      </a:accent5>
      <a:accent6>
        <a:srgbClr val="632423"/>
      </a:accent6>
      <a:hlink>
        <a:srgbClr val="262626"/>
      </a:hlink>
      <a:folHlink>
        <a:srgbClr val="5C5C5C"/>
      </a:folHlink>
    </a:clrScheme>
    <a:fontScheme name="VIKTOR Proposal Fonts">
      <a:majorFont>
        <a:latin typeface="Open Sans Semi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bg1">
            <a:lumMod val="85000"/>
            <a:alpha val="65000"/>
          </a:schemeClr>
        </a:solidFill>
        <a:ln w="12700">
          <a:noFill/>
          <a:miter lim="800000"/>
          <a:headEnd/>
          <a:tailEnd/>
        </a:ln>
      </a:spPr>
      <a:bodyPr rot="0" vert="horz" wrap="square" lIns="182880" tIns="182880" rIns="182880" bIns="18288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940DF-6671-4865-A5F5-46D11060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Hertel</dc:creator>
  <cp:keywords/>
  <dc:description/>
  <cp:lastModifiedBy>Bob Hertel</cp:lastModifiedBy>
  <cp:revision>1</cp:revision>
  <dcterms:created xsi:type="dcterms:W3CDTF">2021-06-04T12:49:00Z</dcterms:created>
  <dcterms:modified xsi:type="dcterms:W3CDTF">2021-06-04T12:50:00Z</dcterms:modified>
</cp:coreProperties>
</file>